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08" w:tblpY="1938"/>
        <w:tblOverlap w:val="never"/>
        <w:tblW w:w="9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800"/>
        <w:gridCol w:w="1305"/>
        <w:gridCol w:w="1050"/>
        <w:gridCol w:w="1560"/>
        <w:gridCol w:w="32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7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ind w:firstLine="181" w:firstLineChars="50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珠海市总工会2019年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  <w:lang w:eastAsia="zh-CN"/>
              </w:rPr>
              <w:t>元旦春节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“情系职工”慰问演出预算表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单价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金额</w:t>
            </w: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流动舞台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1个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具体要求详见《项目要求》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音响灯光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1套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背景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1个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主持人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1人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舞蹈演员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16人左右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曲艺演员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10人左右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舞台、灯光、音响等货运费用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每场演出小计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场演出合计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费用不足部分由中标方自筹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>
      <w:pPr>
        <w:tabs>
          <w:tab w:val="left" w:pos="1083"/>
        </w:tabs>
        <w:jc w:val="lef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>备注：1、投标人务必充分考虑合同期内的市场价格波动等风险因素，自行将其计算入投标报价中，一旦中标，招标人将不予调整。</w:t>
      </w:r>
    </w:p>
    <w:p>
      <w:pPr>
        <w:tabs>
          <w:tab w:val="left" w:pos="1083"/>
        </w:tabs>
        <w:jc w:val="left"/>
        <w:rPr>
          <w:rFonts w:ascii="仿宋" w:hAnsi="仿宋" w:eastAsia="仿宋" w:cs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 xml:space="preserve">      2、招标人有权根据实际情况对活动方案和计划进行调整，中标人必须予以执行</w:t>
      </w:r>
      <w:r>
        <w:rPr>
          <w:rFonts w:hint="eastAsia" w:ascii="仿宋" w:hAnsi="仿宋" w:eastAsia="仿宋" w:cs="仿宋"/>
          <w:sz w:val="28"/>
          <w:szCs w:val="21"/>
          <w:lang w:eastAsia="zh-CN"/>
        </w:rPr>
        <w:t>，最终场次按招标人确认为准，按实际演出场次结算</w:t>
      </w:r>
      <w:r>
        <w:rPr>
          <w:rFonts w:hint="eastAsia" w:ascii="仿宋" w:hAnsi="仿宋" w:eastAsia="仿宋" w:cs="仿宋"/>
          <w:sz w:val="28"/>
          <w:szCs w:val="21"/>
        </w:rPr>
        <w:t>。</w:t>
      </w:r>
    </w:p>
    <w:p>
      <w:pPr>
        <w:tabs>
          <w:tab w:val="left" w:pos="1083"/>
        </w:tabs>
        <w:jc w:val="left"/>
        <w:rPr>
          <w:rFonts w:hint="eastAsia" w:ascii="仿宋" w:hAnsi="仿宋" w:eastAsia="仿宋"/>
          <w:sz w:val="28"/>
          <w:szCs w:val="21"/>
        </w:rPr>
      </w:pPr>
      <w:r>
        <w:rPr>
          <w:rFonts w:hint="eastAsia" w:ascii="仿宋" w:hAnsi="仿宋" w:eastAsia="仿宋" w:cs="仿宋"/>
          <w:sz w:val="28"/>
          <w:szCs w:val="21"/>
        </w:rPr>
        <w:t xml:space="preserve">      3、</w:t>
      </w:r>
      <w:r>
        <w:rPr>
          <w:rFonts w:hint="eastAsia" w:ascii="仿宋" w:hAnsi="仿宋" w:eastAsia="仿宋"/>
          <w:sz w:val="28"/>
          <w:szCs w:val="21"/>
        </w:rPr>
        <w:t>投标人必须以招标人的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1"/>
        </w:rPr>
        <w:t>名义为活动进行足额购买保险,购买保险的费用由投标人在投标报价中综合考虑。当发生意外索赔时，由中标人负责向保险公司办理索赔事宜。招标人不再承担索赔责任。如果中标人不按足额购买保险，发生意外向保险公司办理索赔事宜及责任由中标人承担，招标人不承担由此产生的一切责任。</w:t>
      </w:r>
    </w:p>
    <w:p>
      <w:pPr>
        <w:rPr>
          <w:rFonts w:hint="eastAsia" w:ascii="仿宋" w:hAnsi="仿宋" w:eastAsia="仿宋" w:cs="仿宋"/>
          <w:sz w:val="28"/>
          <w:szCs w:val="21"/>
          <w:lang w:eastAsia="zh-CN"/>
        </w:rPr>
      </w:pPr>
      <w:r>
        <w:rPr>
          <w:rFonts w:hint="eastAsia" w:ascii="仿宋" w:hAnsi="仿宋" w:eastAsia="仿宋" w:cs="仿宋"/>
          <w:sz w:val="28"/>
          <w:szCs w:val="21"/>
        </w:rPr>
        <w:t xml:space="preserve">      </w:t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1"/>
        </w:rPr>
        <w:t>、</w:t>
      </w:r>
      <w:r>
        <w:rPr>
          <w:rFonts w:hint="eastAsia" w:ascii="仿宋" w:hAnsi="仿宋" w:eastAsia="仿宋" w:cs="仿宋"/>
          <w:sz w:val="28"/>
          <w:szCs w:val="21"/>
          <w:lang w:eastAsia="zh-CN"/>
        </w:rPr>
        <w:t>其他要求详见附件。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br w:type="page"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40" w:lineRule="exact"/>
        <w:ind w:left="987" w:leftChars="470" w:firstLine="2831" w:firstLineChars="641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ind w:left="987" w:leftChars="470" w:firstLine="2831" w:firstLineChars="64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项目要求：</w:t>
      </w:r>
    </w:p>
    <w:p>
      <w:pPr>
        <w:numPr>
          <w:ilvl w:val="0"/>
          <w:numId w:val="1"/>
        </w:numPr>
        <w:spacing w:line="440" w:lineRule="exact"/>
        <w:ind w:left="1560" w:hanging="70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项目背景</w:t>
      </w:r>
    </w:p>
    <w:p>
      <w:pPr>
        <w:spacing w:line="440" w:lineRule="exact"/>
        <w:ind w:left="1275" w:leftChars="607"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了丰富珠海企业职工的文化生活，拟通过政府购买公共文化产品服务的方式，进一步增强公共文化服务力。中标人须按照采购人的要求，结合重大节日、庆典，深入基层开展形式多样、职工乐于参与的文化活动，增强文化创造力传播力影响力，打造基层文化活动品牌，进一步提升职工公共文化服务力。</w:t>
      </w:r>
    </w:p>
    <w:p>
      <w:pPr>
        <w:numPr>
          <w:ilvl w:val="0"/>
          <w:numId w:val="1"/>
        </w:numPr>
        <w:spacing w:line="440" w:lineRule="exact"/>
        <w:ind w:left="1560" w:hanging="70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项目实施要求：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服务期：自合同签订之日起至2019年12月31日。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配合工会工作，提升工会在企业、职工的形象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须独立承担到采购人指定演出地点进行文艺演出活动。具体演出地点、演出时间、演出场次按照采购人的要求执行。每场演出晚会节目要求：舞蹈3个（每个舞蹈不少于16人）；声乐节目4个（民歌、通俗、美声均可，必须是专业水平）；语言节目2个（相声、朗诵、小品均可，内容健康向上）；其他类节目2个（器乐、魔术、杂技等）。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须至少在演出前半个月提出各场演出的工作计划、活动主题、节目内容、保障措施等，按照采购人要求进行节目审查，审查内容包括演出主持词、语言类节目剧本、所有演出节目等，批准后实施。中标人根据不同的节日、不同主题负责演出节目的编排、组织和具体实施。演员必须身体健康，具备排练、演出等相关体格、素质和能力，服装得体统一，妆容干净大方，内容健康向上，动作整齐熟练。节目内容要求积极健康、喜闻乐见，包括歌舞、相声、小品、杂技、魔术等艺术形式，具有较高的艺术水平，充分体现思想性、艺术性和观赏性的统一。背景设计、制作，在各个节日设计复合其主题、节日氛围的舞台背景。</w:t>
      </w:r>
    </w:p>
    <w:p>
      <w:pPr>
        <w:numPr>
          <w:ilvl w:val="0"/>
          <w:numId w:val="2"/>
        </w:num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中标人负责提供工会、社保、时事、计划生育等知识的有奖问答奖品。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中标人应无条件接受采购人对演出活动的所有合理安排，按照采购人的要求组织演出活动。提供演出场地的清单，包括演出时间、地点、参加人数等，每场演出需提供证明资料，包括文件、照片、录像等。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保证按合同约定的时间准时到达甲方指定的表演场所。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保证所有的演员</w:t>
      </w:r>
      <w:r>
        <w:rPr>
          <w:rFonts w:hint="eastAsia" w:ascii="宋体" w:hAnsi="宋体"/>
          <w:sz w:val="24"/>
          <w:szCs w:val="24"/>
        </w:rPr>
        <w:t>和相关工作人员</w:t>
      </w:r>
      <w:r>
        <w:rPr>
          <w:rFonts w:ascii="宋体" w:hAnsi="宋体"/>
          <w:sz w:val="24"/>
          <w:szCs w:val="24"/>
        </w:rPr>
        <w:t>听从甲方工作人员的合理指挥。</w:t>
      </w:r>
    </w:p>
    <w:p>
      <w:pPr>
        <w:numPr>
          <w:ilvl w:val="0"/>
          <w:numId w:val="2"/>
        </w:num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舞台、灯光、音响要求见附件《珠海市工人文化宫流动舞台、灯光、音响设备清单》，按要求搭建舞台、灯光、音响等设施，维护好舞台背景板的干净、整洁，如有破损、褶皱等问题，应及时更新。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注：未尽事宜，中标人应无条件按照采购人的合理要求执行。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珠海市工人文化宫流动舞台、灯光、音响设备清单</w:t>
      </w: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流动舞台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流动舞台规格：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sz w:val="24"/>
          <w:szCs w:val="24"/>
        </w:rPr>
        <w:t>长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米×深</w:t>
      </w: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米×高1米（大红地毯）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流动舞台配套设施：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上、下阶梯2个，流动更衣室2个（带灯）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流动舞台背景架规格：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长</w:t>
      </w: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米×高4米（绗架结构）</w:t>
      </w:r>
    </w:p>
    <w:p>
      <w:pPr>
        <w:spacing w:line="276" w:lineRule="auto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灯光类：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LED光束灯                           50台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LED电脑摇头灯                        8台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32路调光台                           1张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可控硅箱                              3台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1500W</w:t>
      </w:r>
      <w:r>
        <w:rPr>
          <w:rFonts w:hint="eastAsia" w:ascii="宋体" w:hAnsi="宋体"/>
          <w:sz w:val="24"/>
          <w:szCs w:val="24"/>
        </w:rPr>
        <w:t>烟机</w:t>
      </w:r>
      <w:r>
        <w:rPr>
          <w:rFonts w:ascii="宋体" w:hAnsi="宋体"/>
          <w:sz w:val="24"/>
          <w:szCs w:val="24"/>
        </w:rPr>
        <w:t xml:space="preserve">                             2</w:t>
      </w:r>
      <w:r>
        <w:rPr>
          <w:rFonts w:hint="eastAsia" w:ascii="宋体" w:hAnsi="宋体"/>
          <w:sz w:val="24"/>
          <w:szCs w:val="24"/>
        </w:rPr>
        <w:t>台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泡泡机</w:t>
      </w:r>
      <w:r>
        <w:rPr>
          <w:rFonts w:ascii="宋体" w:hAnsi="宋体"/>
          <w:sz w:val="24"/>
          <w:szCs w:val="24"/>
        </w:rPr>
        <w:t xml:space="preserve">                                1</w:t>
      </w:r>
      <w:r>
        <w:rPr>
          <w:rFonts w:hint="eastAsia" w:ascii="宋体" w:hAnsi="宋体"/>
          <w:sz w:val="24"/>
          <w:szCs w:val="24"/>
        </w:rPr>
        <w:t>台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电箱</w:t>
      </w:r>
      <w:r>
        <w:rPr>
          <w:rFonts w:ascii="宋体" w:hAnsi="宋体"/>
          <w:sz w:val="24"/>
          <w:szCs w:val="24"/>
        </w:rPr>
        <w:t xml:space="preserve">                                  1</w:t>
      </w:r>
      <w:r>
        <w:rPr>
          <w:rFonts w:hint="eastAsia" w:ascii="宋体" w:hAnsi="宋体"/>
          <w:sz w:val="24"/>
          <w:szCs w:val="24"/>
        </w:rPr>
        <w:t>台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灯架</w:t>
      </w:r>
      <w:r>
        <w:rPr>
          <w:rFonts w:ascii="宋体" w:hAnsi="宋体"/>
          <w:sz w:val="24"/>
          <w:szCs w:val="24"/>
        </w:rPr>
        <w:t xml:space="preserve">                                  1</w:t>
      </w:r>
      <w:r>
        <w:rPr>
          <w:rFonts w:hint="eastAsia" w:ascii="宋体" w:hAnsi="宋体"/>
          <w:sz w:val="24"/>
          <w:szCs w:val="24"/>
        </w:rPr>
        <w:t>批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灯线</w:t>
      </w:r>
      <w:r>
        <w:rPr>
          <w:rFonts w:ascii="宋体" w:hAnsi="宋体"/>
          <w:sz w:val="24"/>
          <w:szCs w:val="24"/>
        </w:rPr>
        <w:t xml:space="preserve">                                  1</w:t>
      </w:r>
      <w:r>
        <w:rPr>
          <w:rFonts w:hint="eastAsia" w:ascii="宋体" w:hAnsi="宋体"/>
          <w:sz w:val="24"/>
          <w:szCs w:val="24"/>
        </w:rPr>
        <w:t>批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</w:t>
      </w:r>
      <w:r>
        <w:rPr>
          <w:rFonts w:hint="eastAsia" w:ascii="宋体" w:hAnsi="宋体"/>
          <w:b/>
          <w:bCs/>
          <w:sz w:val="24"/>
          <w:szCs w:val="24"/>
        </w:rPr>
        <w:t>音响类</w:t>
      </w:r>
    </w:p>
    <w:p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SHURE UHFSM58                         4支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SHURE UF4A领夹话筒                   4支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美国EV-ZS5全频音箱                   3对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流动音箱架                            3对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美国EV-ZS4反送音响                   1对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美国EV-TS4000功放机                  3台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美国EV-TS3000功放机     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SPIRIT LX7（24/8/2）调音台            1台  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YAMAHA990效果器          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TURBO SM信号分配器       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KAIFA CA—2010A信号分配器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C—MARK SP—281分频器                 3台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VESTAX GE</w:t>
      </w:r>
      <w:r>
        <w:rPr>
          <w:rFonts w:hint="eastAsia" w:ascii="宋体" w:hAnsi="宋体"/>
          <w:sz w:val="24"/>
          <w:szCs w:val="24"/>
        </w:rPr>
        <w:softHyphen/>
      </w:r>
      <w:r>
        <w:rPr>
          <w:rFonts w:hint="eastAsia" w:ascii="宋体" w:hAnsi="宋体"/>
          <w:sz w:val="24"/>
          <w:szCs w:val="24"/>
        </w:rPr>
        <w:t>—62AEQ         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BEHRINGCR FB—D反馈抑制器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SONYMD机                              1台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电脑                                   2台</w:t>
      </w:r>
    </w:p>
    <w:p>
      <w:pPr>
        <w:spacing w:line="276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NEWNOBIE咪架                          2个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/>
    <w:p>
      <w:pPr>
        <w:tabs>
          <w:tab w:val="left" w:pos="1083"/>
        </w:tabs>
        <w:jc w:val="left"/>
        <w:rPr>
          <w:rFonts w:hint="eastAsia" w:ascii="仿宋" w:hAnsi="仿宋" w:eastAsia="仿宋"/>
          <w:sz w:val="28"/>
          <w:szCs w:val="21"/>
        </w:rPr>
      </w:pPr>
    </w:p>
    <w:sectPr>
      <w:pgSz w:w="11906" w:h="16838"/>
      <w:pgMar w:top="1313" w:right="1266" w:bottom="941" w:left="11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288"/>
    <w:multiLevelType w:val="multilevel"/>
    <w:tmpl w:val="061F1288"/>
    <w:lvl w:ilvl="0" w:tentative="0">
      <w:start w:val="1"/>
      <w:numFmt w:val="japaneseCounting"/>
      <w:lvlText w:val="%1、"/>
      <w:lvlJc w:val="left"/>
      <w:pPr>
        <w:ind w:left="21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520" w:hanging="420"/>
      </w:pPr>
    </w:lvl>
    <w:lvl w:ilvl="2" w:tentative="0">
      <w:start w:val="1"/>
      <w:numFmt w:val="lowerRoman"/>
      <w:lvlText w:val="%3."/>
      <w:lvlJc w:val="right"/>
      <w:pPr>
        <w:ind w:left="2940" w:hanging="420"/>
      </w:pPr>
    </w:lvl>
    <w:lvl w:ilvl="3" w:tentative="0">
      <w:start w:val="1"/>
      <w:numFmt w:val="decimal"/>
      <w:lvlText w:val="%4."/>
      <w:lvlJc w:val="left"/>
      <w:pPr>
        <w:ind w:left="3360" w:hanging="420"/>
      </w:pPr>
    </w:lvl>
    <w:lvl w:ilvl="4" w:tentative="0">
      <w:start w:val="1"/>
      <w:numFmt w:val="lowerLetter"/>
      <w:lvlText w:val="%5)"/>
      <w:lvlJc w:val="left"/>
      <w:pPr>
        <w:ind w:left="3780" w:hanging="420"/>
      </w:pPr>
    </w:lvl>
    <w:lvl w:ilvl="5" w:tentative="0">
      <w:start w:val="1"/>
      <w:numFmt w:val="lowerRoman"/>
      <w:lvlText w:val="%6."/>
      <w:lvlJc w:val="right"/>
      <w:pPr>
        <w:ind w:left="4200" w:hanging="420"/>
      </w:pPr>
    </w:lvl>
    <w:lvl w:ilvl="6" w:tentative="0">
      <w:start w:val="1"/>
      <w:numFmt w:val="decimal"/>
      <w:lvlText w:val="%7."/>
      <w:lvlJc w:val="left"/>
      <w:pPr>
        <w:ind w:left="4620" w:hanging="420"/>
      </w:pPr>
    </w:lvl>
    <w:lvl w:ilvl="7" w:tentative="0">
      <w:start w:val="1"/>
      <w:numFmt w:val="lowerLetter"/>
      <w:lvlText w:val="%8)"/>
      <w:lvlJc w:val="left"/>
      <w:pPr>
        <w:ind w:left="5040" w:hanging="420"/>
      </w:pPr>
    </w:lvl>
    <w:lvl w:ilvl="8" w:tentative="0">
      <w:start w:val="1"/>
      <w:numFmt w:val="lowerRoman"/>
      <w:lvlText w:val="%9."/>
      <w:lvlJc w:val="right"/>
      <w:pPr>
        <w:ind w:left="5460" w:hanging="420"/>
      </w:pPr>
    </w:lvl>
  </w:abstractNum>
  <w:abstractNum w:abstractNumId="1">
    <w:nsid w:val="7AC94317"/>
    <w:multiLevelType w:val="multilevel"/>
    <w:tmpl w:val="7AC94317"/>
    <w:lvl w:ilvl="0" w:tentative="0">
      <w:start w:val="1"/>
      <w:numFmt w:val="decimal"/>
      <w:lvlText w:val="%1."/>
      <w:lvlJc w:val="left"/>
      <w:pPr>
        <w:tabs>
          <w:tab w:val="left" w:pos="1320"/>
        </w:tabs>
        <w:ind w:left="13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0625B3"/>
    <w:rsid w:val="001E1E80"/>
    <w:rsid w:val="00366825"/>
    <w:rsid w:val="003C7D15"/>
    <w:rsid w:val="003E3208"/>
    <w:rsid w:val="004918A6"/>
    <w:rsid w:val="004D464E"/>
    <w:rsid w:val="00563BFE"/>
    <w:rsid w:val="005857DF"/>
    <w:rsid w:val="005A6E5F"/>
    <w:rsid w:val="006B5549"/>
    <w:rsid w:val="00781FA3"/>
    <w:rsid w:val="00852BBB"/>
    <w:rsid w:val="0085750A"/>
    <w:rsid w:val="00860809"/>
    <w:rsid w:val="008A7565"/>
    <w:rsid w:val="00905FB6"/>
    <w:rsid w:val="00A80A2D"/>
    <w:rsid w:val="00AE2E5A"/>
    <w:rsid w:val="00B3071D"/>
    <w:rsid w:val="00B56FF5"/>
    <w:rsid w:val="00B77071"/>
    <w:rsid w:val="00E23005"/>
    <w:rsid w:val="00EB0B62"/>
    <w:rsid w:val="00EC135D"/>
    <w:rsid w:val="063E603D"/>
    <w:rsid w:val="06A914BE"/>
    <w:rsid w:val="25285812"/>
    <w:rsid w:val="27710B79"/>
    <w:rsid w:val="29994774"/>
    <w:rsid w:val="3E8A4D9A"/>
    <w:rsid w:val="51B07D13"/>
    <w:rsid w:val="6D535020"/>
    <w:rsid w:val="6E290A2E"/>
    <w:rsid w:val="7A3A2F1A"/>
    <w:rsid w:val="7A7538B7"/>
    <w:rsid w:val="7AC35367"/>
    <w:rsid w:val="7B0625B3"/>
    <w:rsid w:val="7BE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68</Words>
  <Characters>393</Characters>
  <Lines>3</Lines>
  <Paragraphs>1</Paragraphs>
  <ScaleCrop>false</ScaleCrop>
  <LinksUpToDate>false</LinksUpToDate>
  <CharactersWithSpaces>460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2018-12-05T03:46:00Z</dcterms:created>
  <dc:creator>小鱼儿（ppp）</dc:creator>
  <cp:lastModifiedBy>宋海明</cp:lastModifiedBy>
  <cp:lastPrinted>2018-07-26T07:57:00Z</cp:lastPrinted>
  <dcterms:modified xsi:type="dcterms:W3CDTF">2018-12-11T09:49:56Z</dcterms:modified>
  <dc:title>珠海市2018年职工集体婚礼预算表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